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仿宋_GB2312"/>
          <w:snapToGrid w:val="0"/>
          <w:kern w:val="0"/>
          <w:sz w:val="52"/>
          <w:szCs w:val="52"/>
        </w:rPr>
      </w:pPr>
    </w:p>
    <w:p>
      <w:pPr>
        <w:jc w:val="center"/>
        <w:rPr>
          <w:rFonts w:ascii="方正小标宋简体" w:eastAsia="方正小标宋简体" w:cs="仿宋_GB2312"/>
          <w:snapToGrid w:val="0"/>
          <w:kern w:val="0"/>
          <w:sz w:val="52"/>
          <w:szCs w:val="52"/>
        </w:rPr>
      </w:pPr>
    </w:p>
    <w:p>
      <w:pPr>
        <w:jc w:val="center"/>
        <w:rPr>
          <w:rFonts w:ascii="方正小标宋简体" w:eastAsia="方正小标宋简体"/>
          <w:sz w:val="44"/>
          <w:szCs w:val="44"/>
        </w:rPr>
      </w:pPr>
      <w:r>
        <w:rPr>
          <w:rFonts w:hint="eastAsia" w:ascii="方正小标宋简体" w:eastAsia="方正小标宋简体"/>
          <w:sz w:val="44"/>
          <w:szCs w:val="44"/>
        </w:rPr>
        <w:t>玉林市中医医院</w:t>
      </w:r>
    </w:p>
    <w:p>
      <w:pPr>
        <w:jc w:val="center"/>
        <w:rPr>
          <w:rFonts w:ascii="方正小标宋简体" w:eastAsia="方正小标宋简体" w:cs="ArialUnicodeMS"/>
          <w:snapToGrid w:val="0"/>
          <w:kern w:val="0"/>
          <w:sz w:val="52"/>
          <w:szCs w:val="52"/>
        </w:rPr>
      </w:pPr>
      <w:r>
        <w:rPr>
          <w:rFonts w:hint="eastAsia" w:ascii="方正小标宋简体" w:eastAsia="方正小标宋简体"/>
          <w:snapToGrid w:val="0"/>
          <w:kern w:val="0"/>
          <w:sz w:val="52"/>
          <w:szCs w:val="52"/>
        </w:rPr>
        <w:t>2021</w:t>
      </w:r>
      <w:r>
        <w:rPr>
          <w:rFonts w:hint="eastAsia" w:ascii="方正小标宋简体" w:eastAsia="方正小标宋简体" w:cs="ArialUnicodeMS"/>
          <w:snapToGrid w:val="0"/>
          <w:kern w:val="0"/>
          <w:sz w:val="52"/>
          <w:szCs w:val="52"/>
        </w:rPr>
        <w:t>年度部门决算公开</w:t>
      </w:r>
    </w:p>
    <w:p>
      <w:pPr>
        <w:rPr>
          <w:rFonts w:ascii="方正小标宋简体" w:eastAsia="方正小标宋简体" w:cs="ArialUnicodeMS"/>
          <w:snapToGrid w:val="0"/>
          <w:kern w:val="0"/>
          <w:sz w:val="84"/>
          <w:szCs w:val="84"/>
        </w:rPr>
      </w:pPr>
    </w:p>
    <w:p>
      <w:pPr>
        <w:rPr>
          <w:rFonts w:ascii="ArialUnicodeMS" w:eastAsia="ArialUnicodeMS" w:cs="ArialUnicodeMS"/>
          <w:snapToGrid w:val="0"/>
          <w:kern w:val="0"/>
          <w:sz w:val="84"/>
          <w:szCs w:val="84"/>
        </w:rPr>
      </w:pPr>
    </w:p>
    <w:p>
      <w:pPr>
        <w:rPr>
          <w:rFonts w:ascii="ArialUnicodeMS" w:eastAsia="ArialUnicodeMS" w:cs="ArialUnicodeMS"/>
          <w:snapToGrid w:val="0"/>
          <w:kern w:val="0"/>
          <w:sz w:val="84"/>
          <w:szCs w:val="84"/>
        </w:rPr>
      </w:pPr>
    </w:p>
    <w:p>
      <w:pPr>
        <w:rPr>
          <w:rFonts w:ascii="ArialUnicodeMS" w:eastAsia="ArialUnicodeMS" w:cs="ArialUnicodeMS"/>
          <w:snapToGrid w:val="0"/>
          <w:kern w:val="0"/>
          <w:sz w:val="84"/>
          <w:szCs w:val="84"/>
        </w:rPr>
      </w:pPr>
    </w:p>
    <w:p>
      <w:pPr>
        <w:ind w:firstLine="646"/>
        <w:jc w:val="center"/>
        <w:rPr>
          <w:rFonts w:ascii="仿宋" w:hAnsi="仿宋" w:eastAsia="仿宋"/>
          <w:sz w:val="32"/>
          <w:szCs w:val="32"/>
        </w:rPr>
      </w:pPr>
    </w:p>
    <w:p>
      <w:pPr>
        <w:ind w:firstLine="646"/>
        <w:jc w:val="center"/>
        <w:rPr>
          <w:rFonts w:ascii="仿宋" w:hAnsi="仿宋" w:eastAsia="仿宋"/>
          <w:sz w:val="32"/>
          <w:szCs w:val="32"/>
        </w:rPr>
      </w:pPr>
    </w:p>
    <w:p>
      <w:pPr>
        <w:ind w:firstLine="646"/>
        <w:jc w:val="center"/>
        <w:rPr>
          <w:rFonts w:ascii="仿宋" w:hAnsi="仿宋" w:eastAsia="仿宋"/>
          <w:sz w:val="32"/>
          <w:szCs w:val="32"/>
        </w:rPr>
      </w:pPr>
    </w:p>
    <w:p>
      <w:pPr>
        <w:ind w:firstLine="646"/>
        <w:jc w:val="center"/>
        <w:rPr>
          <w:rFonts w:ascii="仿宋" w:hAnsi="仿宋" w:eastAsia="仿宋"/>
          <w:sz w:val="32"/>
          <w:szCs w:val="32"/>
        </w:rPr>
      </w:pPr>
    </w:p>
    <w:p>
      <w:pPr>
        <w:ind w:firstLine="646"/>
        <w:jc w:val="center"/>
        <w:rPr>
          <w:rFonts w:ascii="方正小标宋简体" w:eastAsia="方正小标宋简体"/>
          <w:b/>
          <w:snapToGrid w:val="0"/>
          <w:kern w:val="0"/>
          <w:sz w:val="44"/>
          <w:szCs w:val="44"/>
        </w:rPr>
      </w:pPr>
    </w:p>
    <w:p>
      <w:pPr>
        <w:ind w:firstLine="646"/>
        <w:jc w:val="center"/>
        <w:rPr>
          <w:rFonts w:ascii="方正小标宋简体" w:eastAsia="方正小标宋简体"/>
          <w:b/>
          <w:snapToGrid w:val="0"/>
          <w:kern w:val="0"/>
          <w:sz w:val="44"/>
          <w:szCs w:val="44"/>
        </w:rPr>
      </w:pPr>
    </w:p>
    <w:p>
      <w:pPr>
        <w:ind w:firstLine="646"/>
        <w:jc w:val="center"/>
        <w:rPr>
          <w:rFonts w:ascii="方正小标宋简体" w:eastAsia="方正小标宋简体"/>
          <w:b/>
          <w:snapToGrid w:val="0"/>
          <w:kern w:val="0"/>
          <w:sz w:val="44"/>
          <w:szCs w:val="44"/>
        </w:rPr>
      </w:pPr>
    </w:p>
    <w:p>
      <w:pPr>
        <w:ind w:firstLine="646"/>
        <w:jc w:val="center"/>
        <w:rPr>
          <w:rFonts w:ascii="方正小标宋简体" w:eastAsia="方正小标宋简体"/>
          <w:b/>
          <w:snapToGrid w:val="0"/>
          <w:kern w:val="0"/>
          <w:sz w:val="44"/>
          <w:szCs w:val="44"/>
        </w:rPr>
      </w:pPr>
      <w:bookmarkStart w:id="0" w:name="_GoBack"/>
      <w:bookmarkEnd w:id="0"/>
    </w:p>
    <w:p>
      <w:pPr>
        <w:ind w:firstLine="646"/>
        <w:jc w:val="center"/>
        <w:rPr>
          <w:rFonts w:ascii="方正小标宋简体" w:eastAsia="方正小标宋简体"/>
          <w:b/>
          <w:snapToGrid w:val="0"/>
          <w:kern w:val="0"/>
          <w:sz w:val="44"/>
          <w:szCs w:val="44"/>
        </w:rPr>
      </w:pPr>
      <w:r>
        <w:rPr>
          <w:rFonts w:hint="eastAsia" w:ascii="方正小标宋简体" w:eastAsia="方正小标宋简体"/>
          <w:b/>
          <w:snapToGrid w:val="0"/>
          <w:kern w:val="0"/>
          <w:sz w:val="44"/>
          <w:szCs w:val="44"/>
        </w:rPr>
        <w:t>目    录</w:t>
      </w:r>
    </w:p>
    <w:p>
      <w:pPr>
        <w:ind w:firstLine="645"/>
        <w:rPr>
          <w:rFonts w:ascii="仿宋_GB2312" w:eastAsia="仿宋_GB2312"/>
          <w:b/>
          <w:snapToGrid w:val="0"/>
          <w:kern w:val="0"/>
          <w:sz w:val="32"/>
          <w:szCs w:val="32"/>
        </w:rPr>
      </w:pPr>
    </w:p>
    <w:p>
      <w:pPr>
        <w:ind w:firstLine="645"/>
        <w:rPr>
          <w:rFonts w:ascii="黑体" w:hAnsi="黑体" w:eastAsia="黑体"/>
          <w:snapToGrid w:val="0"/>
          <w:kern w:val="0"/>
          <w:sz w:val="32"/>
          <w:szCs w:val="32"/>
        </w:rPr>
      </w:pPr>
      <w:r>
        <w:rPr>
          <w:rFonts w:hint="eastAsia" w:ascii="黑体" w:hAnsi="黑体" w:eastAsia="黑体"/>
          <w:snapToGrid w:val="0"/>
          <w:kern w:val="0"/>
          <w:sz w:val="32"/>
          <w:szCs w:val="32"/>
        </w:rPr>
        <w:t>第一部分：概况</w:t>
      </w:r>
    </w:p>
    <w:p>
      <w:pPr>
        <w:pStyle w:val="15"/>
        <w:numPr>
          <w:ilvl w:val="0"/>
          <w:numId w:val="1"/>
        </w:numPr>
        <w:ind w:firstLineChars="0"/>
        <w:rPr>
          <w:rFonts w:ascii="仿宋" w:hAnsi="仿宋" w:eastAsia="仿宋"/>
          <w:snapToGrid w:val="0"/>
          <w:kern w:val="0"/>
          <w:sz w:val="32"/>
          <w:szCs w:val="32"/>
        </w:rPr>
      </w:pPr>
      <w:r>
        <w:rPr>
          <w:rFonts w:hint="eastAsia" w:ascii="仿宋" w:hAnsi="仿宋" w:eastAsia="仿宋"/>
          <w:snapToGrid w:val="0"/>
          <w:kern w:val="0"/>
          <w:sz w:val="32"/>
          <w:szCs w:val="32"/>
        </w:rPr>
        <w:t>主要职能</w:t>
      </w:r>
    </w:p>
    <w:p>
      <w:pPr>
        <w:ind w:firstLine="645"/>
        <w:rPr>
          <w:rFonts w:ascii="仿宋" w:hAnsi="仿宋" w:eastAsia="仿宋"/>
          <w:snapToGrid w:val="0"/>
          <w:kern w:val="0"/>
          <w:sz w:val="32"/>
          <w:szCs w:val="32"/>
        </w:rPr>
      </w:pPr>
      <w:r>
        <w:rPr>
          <w:rFonts w:hint="eastAsia" w:ascii="仿宋" w:hAnsi="仿宋" w:eastAsia="仿宋"/>
          <w:snapToGrid w:val="0"/>
          <w:kern w:val="0"/>
          <w:sz w:val="32"/>
          <w:szCs w:val="32"/>
        </w:rPr>
        <w:t>二、部门决算单位构成</w:t>
      </w:r>
    </w:p>
    <w:p>
      <w:pPr>
        <w:ind w:firstLine="645"/>
        <w:rPr>
          <w:rFonts w:ascii="黑体" w:hAnsi="黑体" w:eastAsia="黑体"/>
          <w:snapToGrid w:val="0"/>
          <w:kern w:val="0"/>
          <w:sz w:val="32"/>
          <w:szCs w:val="32"/>
        </w:rPr>
      </w:pPr>
      <w:r>
        <w:rPr>
          <w:rFonts w:hint="eastAsia" w:ascii="黑体" w:hAnsi="黑体" w:eastAsia="黑体"/>
          <w:snapToGrid w:val="0"/>
          <w:kern w:val="0"/>
          <w:sz w:val="32"/>
          <w:szCs w:val="32"/>
        </w:rPr>
        <w:t>第二部分：2021年度部门决算报表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表一：收入支出决算总表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表二：收入决算表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表三：支出决算表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表四：财政拨款收入支出决算总表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表五：一般公共预算财政拨款支出决算表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表六：一般公共预算财政拨款基本支出决算表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表七：一般公共预算财政拨款安排的“三公”经费支出决算表</w:t>
      </w:r>
    </w:p>
    <w:p>
      <w:pPr>
        <w:ind w:left="645"/>
        <w:rPr>
          <w:rFonts w:ascii="仿宋" w:hAnsi="仿宋" w:eastAsia="仿宋"/>
          <w:snapToGrid w:val="0"/>
          <w:kern w:val="0"/>
          <w:sz w:val="32"/>
          <w:szCs w:val="32"/>
        </w:rPr>
      </w:pPr>
      <w:r>
        <w:rPr>
          <w:rFonts w:hint="eastAsia" w:ascii="仿宋" w:hAnsi="仿宋" w:eastAsia="仿宋"/>
          <w:snapToGrid w:val="0"/>
          <w:kern w:val="0"/>
          <w:sz w:val="32"/>
          <w:szCs w:val="32"/>
        </w:rPr>
        <w:t>表八：政府性基金预算财政拨款收入支出决算表</w:t>
      </w:r>
    </w:p>
    <w:p>
      <w:pPr>
        <w:ind w:left="645"/>
        <w:rPr>
          <w:rFonts w:ascii="仿宋" w:hAnsi="仿宋" w:eastAsia="仿宋"/>
          <w:snapToGrid w:val="0"/>
          <w:kern w:val="0"/>
          <w:sz w:val="32"/>
          <w:szCs w:val="32"/>
        </w:rPr>
      </w:pPr>
      <w:r>
        <w:rPr>
          <w:rFonts w:hint="eastAsia" w:ascii="仿宋" w:hAnsi="仿宋" w:eastAsia="仿宋"/>
          <w:color w:val="000000"/>
          <w:sz w:val="32"/>
          <w:szCs w:val="32"/>
          <w:shd w:val="clear" w:color="auto" w:fill="FFFFFF"/>
        </w:rPr>
        <w:t>表九：国有资本经营预算财政拨款收入支出决算表</w:t>
      </w:r>
    </w:p>
    <w:p>
      <w:pPr>
        <w:ind w:firstLine="645"/>
        <w:rPr>
          <w:rFonts w:ascii="黑体" w:hAnsi="黑体" w:eastAsia="黑体"/>
          <w:snapToGrid w:val="0"/>
          <w:kern w:val="0"/>
          <w:sz w:val="32"/>
          <w:szCs w:val="32"/>
        </w:rPr>
      </w:pPr>
      <w:r>
        <w:rPr>
          <w:rFonts w:hint="eastAsia" w:ascii="黑体" w:hAnsi="黑体" w:eastAsia="黑体"/>
          <w:snapToGrid w:val="0"/>
          <w:kern w:val="0"/>
          <w:sz w:val="32"/>
          <w:szCs w:val="32"/>
        </w:rPr>
        <w:t>第三部分： 2021年度部门决算情况说明</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一、</w:t>
      </w:r>
      <w:r>
        <w:rPr>
          <w:rFonts w:hint="eastAsia" w:ascii="仿宋" w:hAnsi="仿宋" w:eastAsia="仿宋"/>
          <w:snapToGrid w:val="0"/>
          <w:kern w:val="0"/>
          <w:sz w:val="32"/>
          <w:szCs w:val="32"/>
        </w:rPr>
        <w:t>2021</w:t>
      </w:r>
      <w:r>
        <w:rPr>
          <w:rFonts w:hint="eastAsia" w:ascii="仿宋" w:hAnsi="仿宋" w:eastAsia="仿宋" w:cs="仿宋_GB2312"/>
          <w:snapToGrid w:val="0"/>
          <w:kern w:val="0"/>
          <w:sz w:val="32"/>
          <w:szCs w:val="32"/>
        </w:rPr>
        <w:t>年度收入支出决算总体情况。</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二、</w:t>
      </w:r>
      <w:r>
        <w:rPr>
          <w:rFonts w:hint="eastAsia" w:ascii="仿宋" w:hAnsi="仿宋" w:eastAsia="仿宋"/>
          <w:snapToGrid w:val="0"/>
          <w:kern w:val="0"/>
          <w:sz w:val="32"/>
          <w:szCs w:val="32"/>
        </w:rPr>
        <w:t>2021</w:t>
      </w:r>
      <w:r>
        <w:rPr>
          <w:rFonts w:hint="eastAsia" w:ascii="仿宋" w:hAnsi="仿宋" w:eastAsia="仿宋" w:cs="仿宋_GB2312"/>
          <w:snapToGrid w:val="0"/>
          <w:kern w:val="0"/>
          <w:sz w:val="32"/>
          <w:szCs w:val="32"/>
        </w:rPr>
        <w:t>年度</w:t>
      </w:r>
      <w:r>
        <w:rPr>
          <w:rFonts w:hint="eastAsia" w:ascii="仿宋" w:hAnsi="仿宋" w:eastAsia="仿宋"/>
          <w:snapToGrid w:val="0"/>
          <w:kern w:val="0"/>
          <w:sz w:val="32"/>
          <w:szCs w:val="32"/>
        </w:rPr>
        <w:t>一般</w:t>
      </w:r>
      <w:r>
        <w:rPr>
          <w:rFonts w:hint="eastAsia" w:ascii="仿宋" w:hAnsi="仿宋" w:eastAsia="仿宋" w:cs="仿宋_GB2312"/>
          <w:snapToGrid w:val="0"/>
          <w:kern w:val="0"/>
          <w:sz w:val="32"/>
          <w:szCs w:val="32"/>
        </w:rPr>
        <w:t>公共预算财政拨款支出决算情况。</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三、2021年度一般公共预算财政拨款基本支出决算情况说明。</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四、</w:t>
      </w:r>
      <w:r>
        <w:rPr>
          <w:rFonts w:hint="eastAsia" w:ascii="仿宋" w:hAnsi="仿宋" w:eastAsia="仿宋"/>
          <w:snapToGrid w:val="0"/>
          <w:kern w:val="0"/>
          <w:sz w:val="32"/>
          <w:szCs w:val="32"/>
        </w:rPr>
        <w:t>2021</w:t>
      </w:r>
      <w:r>
        <w:rPr>
          <w:rFonts w:hint="eastAsia" w:ascii="仿宋" w:hAnsi="仿宋" w:eastAsia="仿宋" w:cs="仿宋_GB2312"/>
          <w:snapToGrid w:val="0"/>
          <w:kern w:val="0"/>
          <w:sz w:val="32"/>
          <w:szCs w:val="32"/>
        </w:rPr>
        <w:t>年度政府性基金支出决算情况。</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五、</w:t>
      </w:r>
      <w:r>
        <w:rPr>
          <w:rFonts w:hint="eastAsia" w:ascii="仿宋" w:hAnsi="仿宋" w:eastAsia="仿宋"/>
          <w:snapToGrid w:val="0"/>
          <w:kern w:val="0"/>
          <w:sz w:val="32"/>
          <w:szCs w:val="32"/>
        </w:rPr>
        <w:t>一般</w:t>
      </w:r>
      <w:r>
        <w:rPr>
          <w:rFonts w:hint="eastAsia" w:ascii="仿宋" w:hAnsi="仿宋" w:eastAsia="仿宋" w:cs="仿宋_GB2312"/>
          <w:snapToGrid w:val="0"/>
          <w:kern w:val="0"/>
          <w:sz w:val="32"/>
          <w:szCs w:val="32"/>
        </w:rPr>
        <w:t>公共预算财政拨款安排的“三公”经费支出决算情况说明。</w:t>
      </w:r>
    </w:p>
    <w:p>
      <w:pPr>
        <w:autoSpaceDE w:val="0"/>
        <w:autoSpaceDN w:val="0"/>
        <w:adjustRightInd w:val="0"/>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六、其他重要事项情况说明。</w:t>
      </w:r>
    </w:p>
    <w:p>
      <w:pPr>
        <w:autoSpaceDE w:val="0"/>
        <w:autoSpaceDN w:val="0"/>
        <w:adjustRightInd w:val="0"/>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第四部分：名词解释</w:t>
      </w:r>
    </w:p>
    <w:p>
      <w:pPr>
        <w:jc w:val="center"/>
        <w:rPr>
          <w:rFonts w:ascii="仿宋_GB2312" w:eastAsia="仿宋_GB2312"/>
          <w:snapToGrid w:val="0"/>
          <w:kern w:val="0"/>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rPr>
          <w:rFonts w:ascii="仿宋_GB2312" w:eastAsia="仿宋_GB2312"/>
          <w:b/>
          <w:snapToGrid w:val="0"/>
          <w:kern w:val="0"/>
          <w:sz w:val="32"/>
          <w:szCs w:val="32"/>
        </w:rPr>
      </w:pPr>
    </w:p>
    <w:p>
      <w:pPr>
        <w:widowControl/>
        <w:jc w:val="left"/>
        <w:rPr>
          <w:rFonts w:ascii="仿宋_GB2312" w:eastAsia="仿宋_GB2312"/>
          <w:b/>
          <w:snapToGrid w:val="0"/>
          <w:kern w:val="0"/>
          <w:sz w:val="32"/>
          <w:szCs w:val="32"/>
        </w:rPr>
        <w:sectPr>
          <w:footerReference r:id="rId3" w:type="default"/>
          <w:pgSz w:w="11906" w:h="16838"/>
          <w:pgMar w:top="1440" w:right="1797" w:bottom="1440" w:left="1797" w:header="851" w:footer="992" w:gutter="0"/>
          <w:cols w:space="720" w:num="1"/>
          <w:docGrid w:type="lines" w:linePitch="312" w:charSpace="0"/>
        </w:sectPr>
      </w:pPr>
    </w:p>
    <w:p>
      <w:pPr>
        <w:ind w:firstLine="646"/>
        <w:jc w:val="center"/>
        <w:rPr>
          <w:rFonts w:ascii="黑体" w:hAnsi="黑体" w:eastAsia="黑体"/>
          <w:snapToGrid w:val="0"/>
          <w:kern w:val="0"/>
          <w:sz w:val="32"/>
          <w:szCs w:val="32"/>
        </w:rPr>
      </w:pPr>
      <w:r>
        <w:rPr>
          <w:rFonts w:hint="eastAsia" w:ascii="黑体" w:hAnsi="黑体" w:eastAsia="黑体"/>
          <w:snapToGrid w:val="0"/>
          <w:kern w:val="0"/>
          <w:sz w:val="32"/>
          <w:szCs w:val="32"/>
        </w:rPr>
        <w:t>第一部分：玉林市中医医院概况</w:t>
      </w:r>
    </w:p>
    <w:p>
      <w:pPr>
        <w:pStyle w:val="15"/>
        <w:numPr>
          <w:ilvl w:val="0"/>
          <w:numId w:val="2"/>
        </w:numPr>
        <w:ind w:firstLineChars="0"/>
        <w:rPr>
          <w:rFonts w:ascii="黑体" w:hAnsi="黑体" w:eastAsia="黑体"/>
          <w:snapToGrid w:val="0"/>
          <w:kern w:val="0"/>
          <w:sz w:val="32"/>
          <w:szCs w:val="32"/>
        </w:rPr>
      </w:pPr>
      <w:r>
        <w:rPr>
          <w:rFonts w:hint="eastAsia" w:ascii="黑体" w:hAnsi="黑体" w:eastAsia="黑体"/>
          <w:snapToGrid w:val="0"/>
          <w:kern w:val="0"/>
          <w:sz w:val="32"/>
          <w:szCs w:val="32"/>
        </w:rPr>
        <w:t>主要职能</w:t>
      </w:r>
    </w:p>
    <w:p>
      <w:pPr>
        <w:ind w:left="645" w:firstLine="800" w:firstLineChars="250"/>
        <w:rPr>
          <w:rFonts w:ascii="仿宋" w:hAnsi="仿宋" w:eastAsia="仿宋"/>
          <w:snapToGrid w:val="0"/>
          <w:kern w:val="0"/>
          <w:sz w:val="32"/>
          <w:szCs w:val="32"/>
        </w:rPr>
      </w:pPr>
      <w:r>
        <w:rPr>
          <w:rFonts w:hint="eastAsia" w:ascii="仿宋" w:hAnsi="仿宋" w:eastAsia="仿宋"/>
          <w:snapToGrid w:val="0"/>
          <w:kern w:val="0"/>
          <w:sz w:val="32"/>
          <w:szCs w:val="32"/>
        </w:rPr>
        <w:t>玉林市中医医院成立于1960年，是一所集医疗、预防、保健、科研、教学、康复、社区服务等功能为一体的国家三级甲等中医院。我院是是国家医师资格实践技能考试基地、国家中医住院医师规范化培训基地、中医类别全科医生规范化培养基地、国家华南区域中医（推拿）诊疗中心、中国胸痛中心认证单位，全国百佳感控实践优秀基层医院、广西区域中医（脑病科、推拿科）诊疗中心、广西中医特色康复服务示范医院、广西中医外治法示范基地，广西中医药壮瑶医药智慧中医医院、广西中医药管理局壮瑶制剂孵化基地、广西中医药大学第五附属医院、第五临床医学院，玉林市医学影像云平台、云胶片服务牵头单位，玉林市第一批急性脑卒中医疗救治定点医院。</w:t>
      </w:r>
    </w:p>
    <w:p>
      <w:pPr>
        <w:pStyle w:val="15"/>
        <w:numPr>
          <w:ilvl w:val="0"/>
          <w:numId w:val="2"/>
        </w:numPr>
        <w:ind w:firstLineChars="0"/>
        <w:rPr>
          <w:rFonts w:ascii="黑体" w:hAnsi="黑体" w:eastAsia="黑体"/>
          <w:snapToGrid w:val="0"/>
          <w:kern w:val="0"/>
          <w:sz w:val="32"/>
          <w:szCs w:val="32"/>
        </w:rPr>
      </w:pPr>
      <w:r>
        <w:rPr>
          <w:rFonts w:hint="eastAsia" w:ascii="黑体" w:hAnsi="黑体" w:eastAsia="黑体"/>
          <w:snapToGrid w:val="0"/>
          <w:kern w:val="0"/>
          <w:sz w:val="32"/>
          <w:szCs w:val="32"/>
        </w:rPr>
        <w:t>部门决算单位构成</w:t>
      </w:r>
    </w:p>
    <w:p>
      <w:pPr>
        <w:ind w:left="645" w:firstLine="800" w:firstLineChars="250"/>
        <w:rPr>
          <w:rFonts w:ascii="仿宋" w:hAnsi="仿宋" w:eastAsia="仿宋"/>
          <w:snapToGrid w:val="0"/>
          <w:kern w:val="0"/>
          <w:sz w:val="32"/>
          <w:szCs w:val="32"/>
        </w:rPr>
      </w:pPr>
      <w:r>
        <w:rPr>
          <w:rFonts w:hint="eastAsia" w:ascii="仿宋" w:hAnsi="仿宋" w:eastAsia="仿宋"/>
          <w:snapToGrid w:val="0"/>
          <w:kern w:val="0"/>
          <w:sz w:val="32"/>
          <w:szCs w:val="32"/>
        </w:rPr>
        <w:t>医院开设有急诊、推拿、骨伤、针灸、妇产、儿科、皮肤、男性、五官、口腔等临床科室27个，以及放射、检验、病理、功能、药剂、理疗、消毒供应等17个功能齐全的医技科室。</w:t>
      </w:r>
    </w:p>
    <w:p>
      <w:pPr>
        <w:rPr>
          <w:rFonts w:ascii="黑体" w:hAnsi="黑体" w:eastAsia="黑体"/>
          <w:snapToGrid w:val="0"/>
          <w:kern w:val="0"/>
          <w:sz w:val="32"/>
          <w:szCs w:val="32"/>
        </w:rPr>
      </w:pPr>
      <w:r>
        <w:rPr>
          <w:rFonts w:hint="eastAsia" w:ascii="黑体" w:hAnsi="黑体" w:eastAsia="黑体"/>
          <w:snapToGrid w:val="0"/>
          <w:kern w:val="0"/>
          <w:sz w:val="32"/>
          <w:szCs w:val="32"/>
        </w:rPr>
        <w:t>第二部分： 2021年度部门决算报表</w:t>
      </w:r>
    </w:p>
    <w:p>
      <w:pPr>
        <w:rPr>
          <w:rFonts w:ascii="仿宋" w:hAnsi="仿宋" w:eastAsia="仿宋"/>
          <w:snapToGrid w:val="0"/>
          <w:kern w:val="0"/>
          <w:sz w:val="32"/>
          <w:szCs w:val="32"/>
        </w:rPr>
      </w:pPr>
      <w:r>
        <w:rPr>
          <w:rFonts w:hint="eastAsia" w:ascii="仿宋" w:hAnsi="仿宋" w:eastAsia="仿宋"/>
          <w:color w:val="000000"/>
          <w:sz w:val="32"/>
          <w:szCs w:val="32"/>
          <w:shd w:val="clear" w:color="auto" w:fill="FFFFFF"/>
        </w:rPr>
        <w:t>此部分另附表格，详见附件1：玉林市中医医院2021年度部门决算公开附表</w:t>
      </w:r>
    </w:p>
    <w:p>
      <w:pPr>
        <w:spacing w:line="560" w:lineRule="exact"/>
        <w:rPr>
          <w:rFonts w:ascii="黑体" w:hAnsi="黑体" w:eastAsia="黑体"/>
          <w:snapToGrid w:val="0"/>
          <w:kern w:val="0"/>
          <w:sz w:val="32"/>
          <w:szCs w:val="32"/>
        </w:rPr>
      </w:pPr>
      <w:r>
        <w:rPr>
          <w:rFonts w:hint="eastAsia" w:ascii="黑体" w:hAnsi="黑体" w:eastAsia="黑体"/>
          <w:snapToGrid w:val="0"/>
          <w:kern w:val="0"/>
          <w:sz w:val="32"/>
          <w:szCs w:val="32"/>
        </w:rPr>
        <w:t>第三部分： 2021年度部门决算情况说明</w:t>
      </w: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一、</w:t>
      </w:r>
      <w:r>
        <w:rPr>
          <w:rFonts w:hint="eastAsia" w:ascii="黑体" w:hAnsi="黑体" w:eastAsia="黑体"/>
          <w:snapToGrid w:val="0"/>
          <w:kern w:val="0"/>
          <w:sz w:val="32"/>
          <w:szCs w:val="32"/>
        </w:rPr>
        <w:t>2021</w:t>
      </w:r>
      <w:r>
        <w:rPr>
          <w:rFonts w:hint="eastAsia" w:ascii="黑体" w:hAnsi="黑体" w:eastAsia="黑体" w:cs="仿宋_GB2312"/>
          <w:snapToGrid w:val="0"/>
          <w:kern w:val="0"/>
          <w:sz w:val="32"/>
          <w:szCs w:val="32"/>
        </w:rPr>
        <w:t>年度收入支出决算总体情况</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（一）本部门2021年度总收入</w:t>
      </w:r>
      <w:r>
        <w:rPr>
          <w:rFonts w:hint="eastAsia" w:ascii="仿宋" w:hAnsi="仿宋" w:eastAsia="仿宋"/>
          <w:snapToGrid w:val="0"/>
          <w:kern w:val="0"/>
          <w:sz w:val="32"/>
          <w:szCs w:val="32"/>
        </w:rPr>
        <w:t>77056.84</w:t>
      </w:r>
      <w:r>
        <w:rPr>
          <w:rFonts w:hint="eastAsia" w:ascii="仿宋" w:hAnsi="仿宋" w:eastAsia="仿宋" w:cs="仿宋_GB2312"/>
          <w:snapToGrid w:val="0"/>
          <w:kern w:val="0"/>
          <w:sz w:val="32"/>
          <w:szCs w:val="32"/>
        </w:rPr>
        <w:t>万元，其中本年收入77056.84万元, 较2020年度决算数增加4681.56万元，增长6.47%。收入具体情况如下：</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bCs/>
          <w:snapToGrid w:val="0"/>
          <w:kern w:val="0"/>
          <w:sz w:val="32"/>
          <w:szCs w:val="32"/>
        </w:rPr>
        <w:t>1</w:t>
      </w:r>
      <w:r>
        <w:rPr>
          <w:rFonts w:hint="eastAsia" w:ascii="仿宋" w:hAnsi="仿宋" w:eastAsia="仿宋" w:cs="仿宋_GB2312"/>
          <w:snapToGrid w:val="0"/>
          <w:kern w:val="0"/>
          <w:sz w:val="32"/>
          <w:szCs w:val="32"/>
        </w:rPr>
        <w:t>.一般公共预算财政拨款收入</w:t>
      </w:r>
      <w:r>
        <w:rPr>
          <w:rFonts w:hint="eastAsia" w:ascii="仿宋" w:hAnsi="仿宋" w:eastAsia="仿宋"/>
          <w:snapToGrid w:val="0"/>
          <w:kern w:val="0"/>
          <w:sz w:val="32"/>
          <w:szCs w:val="32"/>
        </w:rPr>
        <w:t xml:space="preserve">1429.73 </w:t>
      </w:r>
      <w:r>
        <w:rPr>
          <w:rFonts w:hint="eastAsia" w:ascii="仿宋" w:hAnsi="仿宋" w:eastAsia="仿宋" w:cs="仿宋_GB2312"/>
          <w:snapToGrid w:val="0"/>
          <w:kern w:val="0"/>
          <w:sz w:val="32"/>
          <w:szCs w:val="32"/>
        </w:rPr>
        <w:t>万元。</w:t>
      </w:r>
      <w:r>
        <w:rPr>
          <w:rFonts w:hint="eastAsia" w:ascii="仿宋" w:hAnsi="仿宋" w:eastAsia="仿宋" w:cs="仿宋_GB2312"/>
          <w:kern w:val="0"/>
          <w:sz w:val="32"/>
          <w:szCs w:val="32"/>
        </w:rPr>
        <w:t>较2020年度决算数减少304.36万元，下降17.55%。</w:t>
      </w:r>
    </w:p>
    <w:p>
      <w:pPr>
        <w:autoSpaceDE w:val="0"/>
        <w:autoSpaceDN w:val="0"/>
        <w:adjustRightInd w:val="0"/>
        <w:spacing w:line="560" w:lineRule="exact"/>
        <w:ind w:firstLine="627" w:firstLineChars="196"/>
        <w:jc w:val="left"/>
        <w:rPr>
          <w:rFonts w:ascii="仿宋" w:hAnsi="仿宋" w:eastAsia="仿宋"/>
          <w:bCs/>
          <w:snapToGrid w:val="0"/>
          <w:kern w:val="0"/>
          <w:sz w:val="32"/>
          <w:szCs w:val="32"/>
        </w:rPr>
      </w:pPr>
      <w:r>
        <w:rPr>
          <w:rFonts w:hint="eastAsia" w:ascii="仿宋" w:hAnsi="仿宋" w:eastAsia="仿宋" w:cs="仿宋_GB2312"/>
          <w:kern w:val="0"/>
          <w:sz w:val="32"/>
          <w:szCs w:val="32"/>
        </w:rPr>
        <w:t>2.政府性基金预算财政拨款收入</w:t>
      </w:r>
      <w:r>
        <w:rPr>
          <w:rFonts w:hint="eastAsia" w:ascii="仿宋" w:hAnsi="仿宋" w:eastAsia="仿宋"/>
          <w:kern w:val="0"/>
          <w:sz w:val="32"/>
          <w:szCs w:val="32"/>
        </w:rPr>
        <w:t xml:space="preserve"> 0 </w:t>
      </w:r>
      <w:r>
        <w:rPr>
          <w:rFonts w:hint="eastAsia" w:ascii="仿宋" w:hAnsi="仿宋" w:eastAsia="仿宋" w:cs="仿宋_GB2312"/>
          <w:kern w:val="0"/>
          <w:sz w:val="32"/>
          <w:szCs w:val="32"/>
        </w:rPr>
        <w:t>万元。</w:t>
      </w:r>
    </w:p>
    <w:p>
      <w:pPr>
        <w:autoSpaceDE w:val="0"/>
        <w:autoSpaceDN w:val="0"/>
        <w:adjustRightInd w:val="0"/>
        <w:spacing w:line="560" w:lineRule="exact"/>
        <w:ind w:firstLine="627" w:firstLineChars="196"/>
        <w:jc w:val="left"/>
        <w:rPr>
          <w:rFonts w:ascii="仿宋" w:hAnsi="仿宋" w:eastAsia="仿宋"/>
          <w:bCs/>
          <w:snapToGrid w:val="0"/>
          <w:kern w:val="0"/>
          <w:sz w:val="32"/>
          <w:szCs w:val="32"/>
        </w:rPr>
      </w:pPr>
      <w:r>
        <w:rPr>
          <w:rFonts w:hint="eastAsia" w:ascii="仿宋" w:hAnsi="仿宋" w:eastAsia="仿宋" w:cs="仿宋_GB2312"/>
          <w:kern w:val="0"/>
          <w:sz w:val="32"/>
          <w:szCs w:val="32"/>
        </w:rPr>
        <w:t>3.国有资本经营预算财政拨款收入 0 万元。</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bCs/>
          <w:snapToGrid w:val="0"/>
          <w:kern w:val="0"/>
          <w:sz w:val="32"/>
          <w:szCs w:val="32"/>
        </w:rPr>
        <w:t>4</w:t>
      </w:r>
      <w:r>
        <w:rPr>
          <w:rFonts w:hint="eastAsia" w:ascii="仿宋" w:hAnsi="仿宋" w:eastAsia="仿宋" w:cs="仿宋_GB2312"/>
          <w:snapToGrid w:val="0"/>
          <w:kern w:val="0"/>
          <w:sz w:val="32"/>
          <w:szCs w:val="32"/>
        </w:rPr>
        <w:t>.事业收入</w:t>
      </w:r>
      <w:r>
        <w:rPr>
          <w:rFonts w:hint="eastAsia" w:ascii="仿宋" w:hAnsi="仿宋" w:eastAsia="仿宋"/>
          <w:snapToGrid w:val="0"/>
          <w:kern w:val="0"/>
          <w:sz w:val="32"/>
          <w:szCs w:val="32"/>
        </w:rPr>
        <w:t>72634.07</w:t>
      </w:r>
      <w:r>
        <w:rPr>
          <w:rFonts w:hint="eastAsia" w:ascii="仿宋" w:hAnsi="仿宋" w:eastAsia="仿宋" w:cs="仿宋_GB2312"/>
          <w:snapToGrid w:val="0"/>
          <w:kern w:val="0"/>
          <w:sz w:val="32"/>
          <w:szCs w:val="32"/>
        </w:rPr>
        <w:t>万元。</w:t>
      </w:r>
      <w:r>
        <w:rPr>
          <w:rFonts w:hint="eastAsia" w:ascii="仿宋" w:hAnsi="仿宋" w:eastAsia="仿宋" w:cs="仿宋_GB2312"/>
          <w:kern w:val="0"/>
          <w:sz w:val="32"/>
          <w:szCs w:val="32"/>
        </w:rPr>
        <w:t>较2020年度决算数增加2718.86万元，增长3.89 %。</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bCs/>
          <w:snapToGrid w:val="0"/>
          <w:kern w:val="0"/>
          <w:sz w:val="32"/>
          <w:szCs w:val="32"/>
        </w:rPr>
        <w:t>5</w:t>
      </w:r>
      <w:r>
        <w:rPr>
          <w:rFonts w:hint="eastAsia" w:ascii="仿宋" w:hAnsi="仿宋" w:eastAsia="仿宋" w:cs="仿宋_GB2312"/>
          <w:snapToGrid w:val="0"/>
          <w:kern w:val="0"/>
          <w:sz w:val="32"/>
          <w:szCs w:val="32"/>
        </w:rPr>
        <w:t>.其他收入</w:t>
      </w:r>
      <w:r>
        <w:rPr>
          <w:rFonts w:hint="eastAsia" w:ascii="仿宋" w:hAnsi="仿宋" w:eastAsia="仿宋"/>
          <w:snapToGrid w:val="0"/>
          <w:kern w:val="0"/>
          <w:sz w:val="32"/>
          <w:szCs w:val="32"/>
        </w:rPr>
        <w:t>2993.04</w:t>
      </w:r>
      <w:r>
        <w:rPr>
          <w:rFonts w:hint="eastAsia" w:ascii="仿宋" w:hAnsi="仿宋" w:eastAsia="仿宋" w:cs="仿宋_GB2312"/>
          <w:snapToGrid w:val="0"/>
          <w:kern w:val="0"/>
          <w:sz w:val="32"/>
          <w:szCs w:val="32"/>
        </w:rPr>
        <w:t>万元。</w:t>
      </w:r>
    </w:p>
    <w:p>
      <w:pPr>
        <w:autoSpaceDE w:val="0"/>
        <w:autoSpaceDN w:val="0"/>
        <w:adjustRightInd w:val="0"/>
        <w:spacing w:line="560" w:lineRule="exact"/>
        <w:ind w:firstLine="627" w:firstLineChars="196"/>
        <w:jc w:val="left"/>
        <w:rPr>
          <w:rFonts w:ascii="仿宋" w:hAnsi="仿宋" w:eastAsia="仿宋"/>
          <w:b/>
          <w:bCs/>
          <w:snapToGrid w:val="0"/>
          <w:kern w:val="0"/>
          <w:sz w:val="32"/>
          <w:szCs w:val="32"/>
        </w:rPr>
      </w:pPr>
      <w:r>
        <w:rPr>
          <w:rFonts w:hint="eastAsia" w:ascii="仿宋" w:hAnsi="仿宋" w:eastAsia="仿宋" w:cs="仿宋_GB2312"/>
          <w:snapToGrid w:val="0"/>
          <w:kern w:val="0"/>
          <w:sz w:val="32"/>
          <w:szCs w:val="32"/>
        </w:rPr>
        <w:t>（二）本部门2021年度总支出</w:t>
      </w:r>
      <w:r>
        <w:rPr>
          <w:rFonts w:hint="eastAsia" w:ascii="仿宋" w:hAnsi="仿宋" w:eastAsia="仿宋"/>
          <w:bCs/>
          <w:snapToGrid w:val="0"/>
          <w:kern w:val="0"/>
          <w:sz w:val="32"/>
          <w:szCs w:val="32"/>
        </w:rPr>
        <w:t>66214.96</w:t>
      </w:r>
      <w:r>
        <w:rPr>
          <w:rFonts w:hint="eastAsia" w:ascii="仿宋" w:hAnsi="仿宋" w:eastAsia="仿宋" w:cs="仿宋_GB2312"/>
          <w:snapToGrid w:val="0"/>
          <w:kern w:val="0"/>
          <w:sz w:val="32"/>
          <w:szCs w:val="32"/>
        </w:rPr>
        <w:t>万元，其中本年支出</w:t>
      </w:r>
      <w:r>
        <w:rPr>
          <w:rFonts w:hint="eastAsia" w:ascii="仿宋" w:hAnsi="仿宋" w:eastAsia="仿宋"/>
          <w:bCs/>
          <w:snapToGrid w:val="0"/>
          <w:kern w:val="0"/>
          <w:sz w:val="32"/>
          <w:szCs w:val="32"/>
        </w:rPr>
        <w:t>66214.96</w:t>
      </w:r>
      <w:r>
        <w:rPr>
          <w:rFonts w:hint="eastAsia" w:ascii="仿宋" w:hAnsi="仿宋" w:eastAsia="仿宋" w:cs="仿宋_GB2312"/>
          <w:snapToGrid w:val="0"/>
          <w:kern w:val="0"/>
          <w:sz w:val="32"/>
          <w:szCs w:val="32"/>
        </w:rPr>
        <w:t>万元, 较2020年度决算数增加1590.01万元，增长2.46 %。支出具体情况如下：</w:t>
      </w:r>
    </w:p>
    <w:p>
      <w:pPr>
        <w:autoSpaceDE w:val="0"/>
        <w:autoSpaceDN w:val="0"/>
        <w:adjustRightInd w:val="0"/>
        <w:spacing w:line="540" w:lineRule="exact"/>
        <w:ind w:firstLine="640" w:firstLineChars="200"/>
        <w:jc w:val="left"/>
        <w:rPr>
          <w:rFonts w:ascii="仿宋" w:hAnsi="仿宋" w:eastAsia="仿宋" w:cs="Arial"/>
          <w:snapToGrid w:val="0"/>
          <w:kern w:val="0"/>
          <w:sz w:val="32"/>
          <w:szCs w:val="32"/>
        </w:rPr>
      </w:pPr>
      <w:r>
        <w:rPr>
          <w:rFonts w:hint="eastAsia" w:ascii="仿宋" w:hAnsi="仿宋" w:eastAsia="仿宋"/>
          <w:bCs/>
          <w:snapToGrid w:val="0"/>
          <w:kern w:val="0"/>
          <w:sz w:val="32"/>
          <w:szCs w:val="32"/>
        </w:rPr>
        <w:t>1</w:t>
      </w:r>
      <w:r>
        <w:rPr>
          <w:rFonts w:hint="eastAsia" w:ascii="仿宋" w:hAnsi="仿宋" w:eastAsia="仿宋" w:cs="仿宋_GB2312"/>
          <w:snapToGrid w:val="0"/>
          <w:kern w:val="0"/>
          <w:sz w:val="32"/>
          <w:szCs w:val="32"/>
        </w:rPr>
        <w:t>.</w:t>
      </w:r>
      <w:r>
        <w:rPr>
          <w:rFonts w:hint="eastAsia" w:ascii="仿宋" w:hAnsi="仿宋" w:eastAsia="仿宋" w:cs="Arial"/>
          <w:snapToGrid w:val="0"/>
          <w:kern w:val="0"/>
          <w:sz w:val="22"/>
          <w:szCs w:val="22"/>
        </w:rPr>
        <w:t xml:space="preserve"> </w:t>
      </w:r>
      <w:r>
        <w:rPr>
          <w:rFonts w:hint="eastAsia" w:ascii="仿宋" w:hAnsi="仿宋" w:eastAsia="仿宋" w:cs="仿宋_GB2312"/>
          <w:snapToGrid w:val="0"/>
          <w:kern w:val="0"/>
          <w:sz w:val="32"/>
          <w:szCs w:val="32"/>
        </w:rPr>
        <w:t>卫生健康支出（类）</w:t>
      </w:r>
      <w:r>
        <w:rPr>
          <w:rFonts w:hint="eastAsia" w:ascii="仿宋" w:hAnsi="仿宋" w:eastAsia="仿宋"/>
          <w:snapToGrid w:val="0"/>
          <w:kern w:val="0"/>
          <w:sz w:val="32"/>
          <w:szCs w:val="32"/>
        </w:rPr>
        <w:t>66195.46</w:t>
      </w:r>
      <w:r>
        <w:rPr>
          <w:rFonts w:hint="eastAsia" w:ascii="仿宋" w:hAnsi="仿宋" w:eastAsia="仿宋" w:cs="仿宋_GB2312"/>
          <w:snapToGrid w:val="0"/>
          <w:kern w:val="0"/>
          <w:sz w:val="32"/>
          <w:szCs w:val="32"/>
        </w:rPr>
        <w:t>万元：</w:t>
      </w:r>
      <w:r>
        <w:rPr>
          <w:rFonts w:hint="eastAsia" w:ascii="仿宋" w:hAnsi="仿宋" w:eastAsia="仿宋" w:cs="Arial"/>
          <w:snapToGrid w:val="0"/>
          <w:kern w:val="0"/>
          <w:sz w:val="32"/>
          <w:szCs w:val="32"/>
        </w:rPr>
        <w:t>主要用于单位为保证日常运转发生的基本支出支出。如国家规定的基本工资和津补贴标准等发生的人员经费支出、按市统一规定的开支标准发生的办公费、印刷费、水电费、培训费、差旅费、会议费等日常公用经费支出。</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bCs/>
          <w:snapToGrid w:val="0"/>
          <w:kern w:val="0"/>
          <w:sz w:val="32"/>
          <w:szCs w:val="32"/>
        </w:rPr>
        <w:t>2</w:t>
      </w:r>
      <w:r>
        <w:rPr>
          <w:rFonts w:hint="eastAsia" w:ascii="仿宋" w:hAnsi="仿宋" w:eastAsia="仿宋" w:cs="仿宋_GB2312"/>
          <w:snapToGrid w:val="0"/>
          <w:kern w:val="0"/>
          <w:sz w:val="32"/>
          <w:szCs w:val="32"/>
        </w:rPr>
        <w:t>.科学技术支出（类）</w:t>
      </w:r>
      <w:r>
        <w:rPr>
          <w:rFonts w:hint="eastAsia" w:ascii="仿宋" w:hAnsi="仿宋" w:eastAsia="仿宋"/>
          <w:snapToGrid w:val="0"/>
          <w:kern w:val="0"/>
          <w:sz w:val="32"/>
          <w:szCs w:val="32"/>
        </w:rPr>
        <w:t>19.5</w:t>
      </w:r>
      <w:r>
        <w:rPr>
          <w:rFonts w:hint="eastAsia" w:ascii="仿宋" w:hAnsi="仿宋" w:eastAsia="仿宋" w:cs="仿宋_GB2312"/>
          <w:snapToGrid w:val="0"/>
          <w:kern w:val="0"/>
          <w:sz w:val="32"/>
          <w:szCs w:val="32"/>
        </w:rPr>
        <w:t>万元：主要用于技术研究与开发。</w:t>
      </w: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二、</w:t>
      </w:r>
      <w:r>
        <w:rPr>
          <w:rFonts w:hint="eastAsia" w:ascii="黑体" w:hAnsi="黑体" w:eastAsia="黑体"/>
          <w:snapToGrid w:val="0"/>
          <w:kern w:val="0"/>
          <w:sz w:val="32"/>
          <w:szCs w:val="32"/>
        </w:rPr>
        <w:t>2021</w:t>
      </w:r>
      <w:r>
        <w:rPr>
          <w:rFonts w:hint="eastAsia" w:ascii="黑体" w:hAnsi="黑体" w:eastAsia="黑体" w:cs="仿宋_GB2312"/>
          <w:snapToGrid w:val="0"/>
          <w:kern w:val="0"/>
          <w:sz w:val="32"/>
          <w:szCs w:val="32"/>
        </w:rPr>
        <w:t>年度</w:t>
      </w:r>
      <w:r>
        <w:rPr>
          <w:rFonts w:hint="eastAsia" w:ascii="黑体" w:hAnsi="黑体" w:eastAsia="黑体"/>
          <w:snapToGrid w:val="0"/>
          <w:kern w:val="0"/>
          <w:sz w:val="32"/>
          <w:szCs w:val="32"/>
        </w:rPr>
        <w:t>一般</w:t>
      </w:r>
      <w:r>
        <w:rPr>
          <w:rFonts w:hint="eastAsia" w:ascii="黑体" w:hAnsi="黑体" w:eastAsia="黑体" w:cs="仿宋_GB2312"/>
          <w:snapToGrid w:val="0"/>
          <w:kern w:val="0"/>
          <w:sz w:val="32"/>
          <w:szCs w:val="32"/>
        </w:rPr>
        <w:t>公共预算财政拨款支出决算情况</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2</w:t>
      </w:r>
      <w:r>
        <w:rPr>
          <w:rFonts w:hint="eastAsia" w:ascii="仿宋" w:hAnsi="仿宋" w:eastAsia="仿宋"/>
          <w:snapToGrid w:val="0"/>
          <w:kern w:val="0"/>
          <w:sz w:val="32"/>
          <w:szCs w:val="32"/>
        </w:rPr>
        <w:t>021</w:t>
      </w:r>
      <w:r>
        <w:rPr>
          <w:rFonts w:hint="eastAsia" w:ascii="仿宋" w:hAnsi="仿宋" w:eastAsia="仿宋" w:cs="仿宋_GB2312"/>
          <w:snapToGrid w:val="0"/>
          <w:kern w:val="0"/>
          <w:sz w:val="32"/>
          <w:szCs w:val="32"/>
        </w:rPr>
        <w:t>年度</w:t>
      </w:r>
      <w:r>
        <w:rPr>
          <w:rFonts w:hint="eastAsia" w:ascii="仿宋" w:hAnsi="仿宋" w:eastAsia="仿宋"/>
          <w:snapToGrid w:val="0"/>
          <w:kern w:val="0"/>
          <w:sz w:val="32"/>
          <w:szCs w:val="32"/>
        </w:rPr>
        <w:t>一般</w:t>
      </w:r>
      <w:r>
        <w:rPr>
          <w:rFonts w:hint="eastAsia" w:ascii="仿宋" w:hAnsi="仿宋" w:eastAsia="仿宋" w:cs="仿宋_GB2312"/>
          <w:snapToGrid w:val="0"/>
          <w:kern w:val="0"/>
          <w:sz w:val="32"/>
          <w:szCs w:val="32"/>
        </w:rPr>
        <w:t>公共预算财政拨款支出</w:t>
      </w:r>
      <w:r>
        <w:rPr>
          <w:rFonts w:hint="eastAsia" w:ascii="仿宋" w:hAnsi="仿宋" w:eastAsia="仿宋"/>
          <w:bCs/>
          <w:snapToGrid w:val="0"/>
          <w:kern w:val="0"/>
          <w:sz w:val="32"/>
          <w:szCs w:val="32"/>
        </w:rPr>
        <w:t>1429.73</w:t>
      </w:r>
      <w:r>
        <w:rPr>
          <w:rFonts w:hint="eastAsia" w:ascii="仿宋" w:hAnsi="仿宋" w:eastAsia="仿宋" w:cs="仿宋_GB2312"/>
          <w:snapToGrid w:val="0"/>
          <w:kern w:val="0"/>
          <w:sz w:val="32"/>
          <w:szCs w:val="32"/>
        </w:rPr>
        <w:t>万元，其中本年支出1429.73万元, 较2020年度决算数增加6.22万元，增长0.44%。</w:t>
      </w:r>
    </w:p>
    <w:p>
      <w:pPr>
        <w:pStyle w:val="16"/>
        <w:ind w:firstLine="640" w:firstLineChars="200"/>
        <w:rPr>
          <w:rFonts w:ascii="仿宋" w:hAnsi="仿宋" w:eastAsia="仿宋"/>
          <w:b/>
          <w:bCs/>
          <w:snapToGrid w:val="0"/>
          <w:kern w:val="0"/>
          <w:sz w:val="32"/>
          <w:szCs w:val="32"/>
        </w:rPr>
      </w:pPr>
      <w:r>
        <w:rPr>
          <w:rStyle w:val="18"/>
          <w:rFonts w:hint="eastAsia" w:ascii="仿宋" w:hAnsi="仿宋" w:eastAsia="仿宋"/>
          <w:b w:val="0"/>
        </w:rPr>
        <w:t>2021年度一般公共预算财政拨款支出决算1429.73万元。</w:t>
      </w:r>
      <w:r>
        <w:rPr>
          <w:rFonts w:hint="eastAsia" w:ascii="仿宋" w:hAnsi="仿宋" w:eastAsia="仿宋" w:cs="仿宋_GB2312"/>
          <w:snapToGrid w:val="0"/>
          <w:kern w:val="0"/>
          <w:sz w:val="32"/>
          <w:szCs w:val="32"/>
        </w:rPr>
        <w:t>支出具体情况如下：</w:t>
      </w:r>
    </w:p>
    <w:p>
      <w:pPr>
        <w:autoSpaceDE w:val="0"/>
        <w:autoSpaceDN w:val="0"/>
        <w:adjustRightInd w:val="0"/>
        <w:spacing w:line="540" w:lineRule="exact"/>
        <w:ind w:firstLine="640" w:firstLineChars="200"/>
        <w:jc w:val="left"/>
        <w:rPr>
          <w:rFonts w:ascii="仿宋" w:hAnsi="仿宋" w:eastAsia="仿宋" w:cs="Arial"/>
          <w:snapToGrid w:val="0"/>
          <w:kern w:val="0"/>
          <w:sz w:val="32"/>
          <w:szCs w:val="32"/>
        </w:rPr>
      </w:pPr>
      <w:r>
        <w:rPr>
          <w:rFonts w:hint="eastAsia" w:ascii="仿宋" w:hAnsi="仿宋" w:eastAsia="仿宋"/>
          <w:bCs/>
          <w:snapToGrid w:val="0"/>
          <w:kern w:val="0"/>
          <w:sz w:val="32"/>
          <w:szCs w:val="32"/>
        </w:rPr>
        <w:t>1</w:t>
      </w:r>
      <w:r>
        <w:rPr>
          <w:rFonts w:hint="eastAsia" w:ascii="仿宋" w:hAnsi="仿宋" w:eastAsia="仿宋" w:cs="仿宋_GB2312"/>
          <w:snapToGrid w:val="0"/>
          <w:kern w:val="0"/>
          <w:sz w:val="32"/>
          <w:szCs w:val="32"/>
        </w:rPr>
        <w:t>.</w:t>
      </w:r>
      <w:r>
        <w:rPr>
          <w:rFonts w:hint="eastAsia" w:ascii="仿宋" w:hAnsi="仿宋" w:eastAsia="仿宋" w:cs="Arial"/>
          <w:snapToGrid w:val="0"/>
          <w:kern w:val="0"/>
          <w:sz w:val="22"/>
          <w:szCs w:val="22"/>
        </w:rPr>
        <w:t xml:space="preserve"> </w:t>
      </w:r>
      <w:r>
        <w:rPr>
          <w:rFonts w:hint="eastAsia" w:ascii="仿宋" w:hAnsi="仿宋" w:eastAsia="仿宋" w:cs="仿宋_GB2312"/>
          <w:snapToGrid w:val="0"/>
          <w:kern w:val="0"/>
          <w:sz w:val="32"/>
          <w:szCs w:val="32"/>
        </w:rPr>
        <w:t>中医（民族）医院支出270.58万元；其他公立医院支出659.07万元；基本公共卫生服务支出0.5万元；突发公共卫生事件应急处理支出1.32万元；中医（民族医）药专项支出468.66万元；其他卫生健康支出10.1万元。</w:t>
      </w:r>
      <w:r>
        <w:rPr>
          <w:rFonts w:hint="eastAsia" w:ascii="仿宋" w:hAnsi="仿宋" w:eastAsia="仿宋" w:cs="Arial"/>
          <w:snapToGrid w:val="0"/>
          <w:kern w:val="0"/>
          <w:sz w:val="32"/>
          <w:szCs w:val="32"/>
        </w:rPr>
        <w:t>主要用于单位为保证日常运转发生的基本支出。如：基本工资和津补贴标准等发生的人员经费支出、购买设备、材料、办公费、印刷费、水电费、培训费、差旅费、会议费等日常公用经费支出。</w:t>
      </w:r>
    </w:p>
    <w:p>
      <w:pPr>
        <w:autoSpaceDE w:val="0"/>
        <w:autoSpaceDN w:val="0"/>
        <w:adjustRightInd w:val="0"/>
        <w:spacing w:line="560" w:lineRule="exact"/>
        <w:ind w:firstLine="627" w:firstLineChars="196"/>
        <w:jc w:val="left"/>
        <w:rPr>
          <w:rFonts w:ascii="仿宋" w:hAnsi="仿宋" w:eastAsia="仿宋" w:cs="仿宋_GB2312"/>
          <w:snapToGrid w:val="0"/>
          <w:kern w:val="0"/>
          <w:sz w:val="32"/>
          <w:szCs w:val="32"/>
        </w:rPr>
      </w:pPr>
      <w:r>
        <w:rPr>
          <w:rFonts w:hint="eastAsia" w:ascii="仿宋" w:hAnsi="仿宋" w:eastAsia="仿宋"/>
          <w:bCs/>
          <w:snapToGrid w:val="0"/>
          <w:kern w:val="0"/>
          <w:sz w:val="32"/>
          <w:szCs w:val="32"/>
        </w:rPr>
        <w:t>2</w:t>
      </w:r>
      <w:r>
        <w:rPr>
          <w:rFonts w:hint="eastAsia" w:ascii="仿宋" w:hAnsi="仿宋" w:eastAsia="仿宋" w:cs="仿宋_GB2312"/>
          <w:snapToGrid w:val="0"/>
          <w:kern w:val="0"/>
          <w:sz w:val="32"/>
          <w:szCs w:val="32"/>
        </w:rPr>
        <w:t>. 科技成果转化与扩散支出</w:t>
      </w:r>
      <w:r>
        <w:rPr>
          <w:rFonts w:hint="eastAsia" w:ascii="仿宋" w:hAnsi="仿宋" w:eastAsia="仿宋"/>
          <w:snapToGrid w:val="0"/>
          <w:kern w:val="0"/>
          <w:sz w:val="32"/>
          <w:szCs w:val="32"/>
        </w:rPr>
        <w:t>19.5</w:t>
      </w:r>
      <w:r>
        <w:rPr>
          <w:rFonts w:hint="eastAsia" w:ascii="仿宋" w:hAnsi="仿宋" w:eastAsia="仿宋" w:cs="仿宋_GB2312"/>
          <w:snapToGrid w:val="0"/>
          <w:kern w:val="0"/>
          <w:sz w:val="32"/>
          <w:szCs w:val="32"/>
        </w:rPr>
        <w:t>万元：主要用于技术研究与开发。</w:t>
      </w: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三、2021年度一般公共预算财政拨款基本支出决算情况说明</w:t>
      </w:r>
    </w:p>
    <w:p>
      <w:pPr>
        <w:autoSpaceDE w:val="0"/>
        <w:autoSpaceDN w:val="0"/>
        <w:adjustRightInd w:val="0"/>
        <w:spacing w:line="560" w:lineRule="exact"/>
        <w:ind w:firstLine="640" w:firstLineChars="200"/>
        <w:jc w:val="left"/>
        <w:rPr>
          <w:rFonts w:ascii="仿宋" w:hAnsi="仿宋" w:eastAsia="仿宋"/>
          <w:bCs/>
          <w:snapToGrid w:val="0"/>
          <w:kern w:val="0"/>
          <w:sz w:val="32"/>
          <w:szCs w:val="32"/>
        </w:rPr>
      </w:pPr>
      <w:r>
        <w:rPr>
          <w:rFonts w:hint="eastAsia" w:ascii="仿宋" w:hAnsi="仿宋" w:eastAsia="仿宋" w:cs="仿宋_GB2312"/>
          <w:snapToGrid w:val="0"/>
          <w:kern w:val="0"/>
          <w:sz w:val="32"/>
          <w:szCs w:val="32"/>
        </w:rPr>
        <w:t>2021年度</w:t>
      </w:r>
      <w:r>
        <w:rPr>
          <w:rFonts w:hint="eastAsia" w:ascii="仿宋" w:hAnsi="仿宋" w:eastAsia="仿宋"/>
          <w:snapToGrid w:val="0"/>
          <w:kern w:val="0"/>
          <w:sz w:val="32"/>
          <w:szCs w:val="32"/>
        </w:rPr>
        <w:t>一般</w:t>
      </w:r>
      <w:r>
        <w:rPr>
          <w:rFonts w:hint="eastAsia" w:ascii="仿宋" w:hAnsi="仿宋" w:eastAsia="仿宋" w:cs="仿宋_GB2312"/>
          <w:snapToGrid w:val="0"/>
          <w:kern w:val="0"/>
          <w:sz w:val="32"/>
          <w:szCs w:val="32"/>
        </w:rPr>
        <w:t>公共预算财政拨款基本支出131.3万元。</w:t>
      </w: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四、2021年度政府性基金支出决算情况</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r>
        <w:rPr>
          <w:rFonts w:hint="eastAsia" w:ascii="仿宋" w:hAnsi="仿宋" w:eastAsia="仿宋"/>
          <w:snapToGrid w:val="0"/>
          <w:kern w:val="0"/>
          <w:sz w:val="32"/>
          <w:szCs w:val="32"/>
        </w:rPr>
        <w:t>2021</w:t>
      </w:r>
      <w:r>
        <w:rPr>
          <w:rFonts w:hint="eastAsia" w:ascii="仿宋" w:hAnsi="仿宋" w:eastAsia="仿宋" w:cs="仿宋_GB2312"/>
          <w:snapToGrid w:val="0"/>
          <w:kern w:val="0"/>
          <w:sz w:val="32"/>
          <w:szCs w:val="32"/>
        </w:rPr>
        <w:t>年度重大疫情防控救治体系建设支出0万元，</w:t>
      </w:r>
      <w:r>
        <w:rPr>
          <w:rFonts w:hint="eastAsia" w:ascii="仿宋" w:hAnsi="仿宋" w:eastAsia="仿宋"/>
          <w:snapToGrid w:val="0"/>
          <w:kern w:val="0"/>
          <w:sz w:val="32"/>
          <w:szCs w:val="32"/>
        </w:rPr>
        <w:t xml:space="preserve"> 2020</w:t>
      </w:r>
      <w:r>
        <w:rPr>
          <w:rFonts w:hint="eastAsia" w:ascii="仿宋" w:hAnsi="仿宋" w:eastAsia="仿宋" w:cs="仿宋_GB2312"/>
          <w:snapToGrid w:val="0"/>
          <w:kern w:val="0"/>
          <w:sz w:val="32"/>
          <w:szCs w:val="32"/>
        </w:rPr>
        <w:t>年度政府性基金支出年初预算为</w:t>
      </w:r>
      <w:r>
        <w:rPr>
          <w:rFonts w:hint="eastAsia" w:ascii="仿宋" w:hAnsi="仿宋" w:eastAsia="仿宋"/>
          <w:snapToGrid w:val="0"/>
          <w:kern w:val="0"/>
          <w:sz w:val="32"/>
          <w:szCs w:val="32"/>
        </w:rPr>
        <w:t>0</w:t>
      </w:r>
      <w:r>
        <w:rPr>
          <w:rFonts w:hint="eastAsia" w:ascii="仿宋" w:hAnsi="仿宋" w:eastAsia="仿宋" w:cs="仿宋_GB2312"/>
          <w:snapToGrid w:val="0"/>
          <w:kern w:val="0"/>
          <w:sz w:val="32"/>
          <w:szCs w:val="32"/>
        </w:rPr>
        <w:t>万元。</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五、2021年度国有资本经营预算支出决算情况</w:t>
      </w:r>
    </w:p>
    <w:p>
      <w:pPr>
        <w:autoSpaceDE w:val="0"/>
        <w:autoSpaceDN w:val="0"/>
        <w:adjustRightInd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kern w:val="0"/>
          <w:sz w:val="32"/>
          <w:szCs w:val="32"/>
        </w:rPr>
        <w:t>2021</w:t>
      </w:r>
      <w:r>
        <w:rPr>
          <w:rFonts w:hint="eastAsia" w:ascii="仿宋" w:hAnsi="仿宋" w:eastAsia="仿宋" w:cs="仿宋_GB2312"/>
          <w:kern w:val="0"/>
          <w:sz w:val="32"/>
          <w:szCs w:val="32"/>
        </w:rPr>
        <w:t>年度国有资本经营预算支出</w:t>
      </w:r>
      <w:r>
        <w:rPr>
          <w:rFonts w:hint="eastAsia" w:ascii="仿宋" w:hAnsi="仿宋" w:eastAsia="仿宋"/>
          <w:kern w:val="0"/>
          <w:sz w:val="32"/>
          <w:szCs w:val="32"/>
        </w:rPr>
        <w:t>0</w:t>
      </w:r>
      <w:r>
        <w:rPr>
          <w:rFonts w:hint="eastAsia" w:ascii="仿宋" w:hAnsi="仿宋" w:eastAsia="仿宋" w:cs="仿宋_GB2312"/>
          <w:kern w:val="0"/>
          <w:sz w:val="32"/>
          <w:szCs w:val="32"/>
        </w:rPr>
        <w:t>万元。其中：基本支出</w:t>
      </w:r>
      <w:r>
        <w:rPr>
          <w:rFonts w:hint="eastAsia" w:ascii="仿宋" w:hAnsi="仿宋" w:eastAsia="仿宋"/>
          <w:kern w:val="0"/>
          <w:sz w:val="32"/>
          <w:szCs w:val="32"/>
        </w:rPr>
        <w:t>0</w:t>
      </w:r>
      <w:r>
        <w:rPr>
          <w:rFonts w:hint="eastAsia" w:ascii="仿宋" w:hAnsi="仿宋" w:eastAsia="仿宋" w:cs="仿宋_GB2312"/>
          <w:kern w:val="0"/>
          <w:sz w:val="32"/>
          <w:szCs w:val="32"/>
        </w:rPr>
        <w:t>万元，项目支出</w:t>
      </w:r>
      <w:r>
        <w:rPr>
          <w:rFonts w:hint="eastAsia" w:ascii="仿宋" w:hAnsi="仿宋" w:eastAsia="仿宋"/>
          <w:kern w:val="0"/>
          <w:sz w:val="32"/>
          <w:szCs w:val="32"/>
        </w:rPr>
        <w:t>0</w:t>
      </w:r>
      <w:r>
        <w:rPr>
          <w:rFonts w:hint="eastAsia" w:ascii="仿宋" w:hAnsi="仿宋" w:eastAsia="仿宋" w:cs="仿宋_GB2312"/>
          <w:kern w:val="0"/>
          <w:sz w:val="32"/>
          <w:szCs w:val="32"/>
        </w:rPr>
        <w:t>万元。</w:t>
      </w:r>
    </w:p>
    <w:p>
      <w:pPr>
        <w:autoSpaceDE w:val="0"/>
        <w:autoSpaceDN w:val="0"/>
        <w:adjustRightInd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kern w:val="0"/>
          <w:sz w:val="32"/>
          <w:szCs w:val="32"/>
        </w:rPr>
        <w:t>2021</w:t>
      </w:r>
      <w:r>
        <w:rPr>
          <w:rFonts w:hint="eastAsia" w:ascii="仿宋" w:hAnsi="仿宋" w:eastAsia="仿宋" w:cs="仿宋_GB2312"/>
          <w:kern w:val="0"/>
          <w:sz w:val="32"/>
          <w:szCs w:val="32"/>
        </w:rPr>
        <w:t>年度国有资本经营预算支出年初预算为0万元。支出决算为0万元。</w:t>
      </w:r>
    </w:p>
    <w:p>
      <w:pPr>
        <w:autoSpaceDE w:val="0"/>
        <w:autoSpaceDN w:val="0"/>
        <w:adjustRightInd w:val="0"/>
        <w:ind w:firstLine="640" w:firstLineChars="200"/>
        <w:jc w:val="left"/>
        <w:rPr>
          <w:rFonts w:ascii="黑体" w:hAnsi="黑体" w:eastAsia="黑体" w:cs="仿宋_GB2312"/>
          <w:kern w:val="0"/>
          <w:sz w:val="32"/>
          <w:szCs w:val="32"/>
        </w:rPr>
      </w:pP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六、</w:t>
      </w:r>
      <w:r>
        <w:rPr>
          <w:rFonts w:hint="eastAsia" w:ascii="黑体" w:hAnsi="黑体" w:eastAsia="黑体"/>
          <w:snapToGrid w:val="0"/>
          <w:kern w:val="0"/>
          <w:sz w:val="32"/>
          <w:szCs w:val="32"/>
        </w:rPr>
        <w:t>一般</w:t>
      </w:r>
      <w:r>
        <w:rPr>
          <w:rFonts w:hint="eastAsia" w:ascii="黑体" w:hAnsi="黑体" w:eastAsia="黑体" w:cs="仿宋_GB2312"/>
          <w:snapToGrid w:val="0"/>
          <w:kern w:val="0"/>
          <w:sz w:val="32"/>
          <w:szCs w:val="32"/>
        </w:rPr>
        <w:t>公共预算财政拨款安排的“三公”经费支出决算情况说明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0万元，完成年初预算的0%，比上年增减0万元，主要原因是无该项支出。其中：因公出国（境）费支出决算0万元，公务用车购置及运行费支出决算0万元，公务接待费支出决算0万元。</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（一）因公出国（境）费支出0万元，完成年初预算的0%，比上年增减0万元，原因是无该项支出。</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w:t>
      </w:r>
    </w:p>
    <w:p>
      <w:pPr>
        <w:keepNext w:val="0"/>
        <w:keepLines w:val="0"/>
        <w:pageBreakBefore w:val="0"/>
        <w:widowControl w:val="0"/>
        <w:kinsoku/>
        <w:wordWrap/>
        <w:overflowPunct/>
        <w:topLinePunct w:val="0"/>
        <w:autoSpaceDE w:val="0"/>
        <w:autoSpaceDN w:val="0"/>
        <w:bidi w:val="0"/>
        <w:adjustRightInd w:val="0"/>
        <w:snapToGrid/>
        <w:spacing w:line="240" w:lineRule="auto"/>
        <w:ind w:firstLine="960" w:firstLineChars="3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公务用车购置支出0万元，完成年初预算的0%，比上年增减0万元，原因是无该项支出。公务用车运行支出0万元，完成年初预算的0%，比上年增减0万元，原因是无该项支出。</w:t>
      </w:r>
    </w:p>
    <w:p>
      <w:pPr>
        <w:keepNext w:val="0"/>
        <w:keepLines w:val="0"/>
        <w:pageBreakBefore w:val="0"/>
        <w:widowControl w:val="0"/>
        <w:tabs>
          <w:tab w:val="left" w:pos="840"/>
        </w:tabs>
        <w:kinsoku/>
        <w:wordWrap/>
        <w:overflowPunct/>
        <w:topLinePunct w:val="0"/>
        <w:autoSpaceDE w:val="0"/>
        <w:autoSpaceDN w:val="0"/>
        <w:bidi w:val="0"/>
        <w:adjustRightInd w:val="0"/>
        <w:snapToGrid/>
        <w:spacing w:line="240" w:lineRule="auto"/>
        <w:ind w:left="0" w:leftChars="0" w:firstLine="38" w:firstLineChars="12"/>
        <w:jc w:val="left"/>
        <w:textAlignment w:val="auto"/>
        <w:rPr>
          <w:rFonts w:hint="eastAsia" w:ascii="仿宋" w:hAnsi="仿宋" w:eastAsia="仿宋" w:cs="仿宋"/>
          <w:kern w:val="0"/>
          <w:sz w:val="32"/>
          <w:szCs w:val="32"/>
        </w:rPr>
      </w:pPr>
      <w:r>
        <w:rPr>
          <w:rFonts w:hint="eastAsia" w:ascii="仿宋_GB2312" w:eastAsia="仿宋_GB2312" w:cs="仿宋_GB2312"/>
          <w:kern w:val="0"/>
          <w:sz w:val="32"/>
          <w:szCs w:val="32"/>
        </w:rPr>
        <w:t>（三）</w:t>
      </w:r>
      <w:r>
        <w:rPr>
          <w:rFonts w:hint="eastAsia" w:ascii="仿宋" w:hAnsi="仿宋" w:eastAsia="仿宋" w:cs="仿宋"/>
          <w:sz w:val="32"/>
          <w:szCs w:val="32"/>
        </w:rPr>
        <w:t>公务接待费支出0.00万元，完成年初预算的0%， 比上年减少</w:t>
      </w:r>
      <w:r>
        <w:rPr>
          <w:rFonts w:hint="default" w:ascii="仿宋" w:hAnsi="仿宋" w:eastAsia="仿宋" w:cs="仿宋"/>
          <w:sz w:val="32"/>
          <w:szCs w:val="32"/>
          <w:lang w:val="en-US"/>
        </w:rPr>
        <w:t>0</w:t>
      </w:r>
      <w:r>
        <w:rPr>
          <w:rFonts w:hint="eastAsia" w:ascii="仿宋" w:hAnsi="仿宋" w:eastAsia="仿宋" w:cs="仿宋"/>
          <w:sz w:val="32"/>
          <w:szCs w:val="32"/>
        </w:rPr>
        <w:t>万元，原因是无公务接待事项。国内公务接待批次0次，人次0次，国（境）外公务接待批次0次，人次0次。其中：无公务接待事项。</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p>
    <w:p>
      <w:pPr>
        <w:autoSpaceDE w:val="0"/>
        <w:autoSpaceDN w:val="0"/>
        <w:adjustRightInd w:val="0"/>
        <w:spacing w:line="560" w:lineRule="exact"/>
        <w:ind w:firstLine="627" w:firstLineChars="196"/>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七、其他重要事项情况说明</w:t>
      </w:r>
    </w:p>
    <w:p>
      <w:pPr>
        <w:autoSpaceDE w:val="0"/>
        <w:autoSpaceDN w:val="0"/>
        <w:adjustRightInd w:val="0"/>
        <w:spacing w:line="560" w:lineRule="exact"/>
        <w:ind w:firstLine="640" w:firstLineChars="200"/>
        <w:jc w:val="left"/>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（一）机关运行经费支出情况说明。</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本部门2021年度无机关运行经费支出。</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（二）政府采购支出情况说明。</w:t>
      </w:r>
    </w:p>
    <w:p>
      <w:pPr>
        <w:autoSpaceDE w:val="0"/>
        <w:autoSpaceDN w:val="0"/>
        <w:adjustRightInd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snapToGrid w:val="0"/>
          <w:kern w:val="0"/>
          <w:sz w:val="32"/>
          <w:szCs w:val="32"/>
        </w:rPr>
        <w:t>2021年本部门政府采购支出总额398万元。</w:t>
      </w:r>
      <w:r>
        <w:rPr>
          <w:rFonts w:hint="eastAsia" w:ascii="仿宋" w:hAnsi="仿宋" w:eastAsia="仿宋" w:cs="仿宋_GB2312"/>
          <w:kern w:val="0"/>
          <w:sz w:val="32"/>
          <w:szCs w:val="32"/>
        </w:rPr>
        <w:t>其中：政府采购货物支出398万元。</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（三）国有资产占用情况说明。</w:t>
      </w:r>
    </w:p>
    <w:p>
      <w:pPr>
        <w:autoSpaceDE w:val="0"/>
        <w:autoSpaceDN w:val="0"/>
        <w:adjustRightInd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截至2021年12月31日，本部门共有车辆  辆，其中：副部（省）级领导干部用车0辆、机要通信用车0辆、应急保障用车0辆、执法执勤用车0辆、特种专业技术用车0辆、其他用车7辆，其他用车主要是救护车；单位价值50万元以上通用设备38台（套）；单位价值100万元以上专用设备48台（套）。</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（四）预算绩效管理工作开展情况。</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r>
        <w:rPr>
          <w:rFonts w:hint="eastAsia" w:ascii="仿宋" w:hAnsi="仿宋" w:eastAsia="仿宋" w:cs="仿宋_GB2312"/>
          <w:snapToGrid w:val="0"/>
          <w:kern w:val="0"/>
          <w:sz w:val="32"/>
          <w:szCs w:val="32"/>
        </w:rPr>
        <w:t>2021年本部门未开展预算绩效管理工作。</w:t>
      </w:r>
    </w:p>
    <w:p>
      <w:pPr>
        <w:autoSpaceDE w:val="0"/>
        <w:autoSpaceDN w:val="0"/>
        <w:adjustRightInd w:val="0"/>
        <w:spacing w:line="560" w:lineRule="exact"/>
        <w:ind w:firstLine="640" w:firstLineChars="200"/>
        <w:jc w:val="left"/>
        <w:rPr>
          <w:rFonts w:ascii="仿宋" w:hAnsi="仿宋" w:eastAsia="仿宋" w:cs="仿宋_GB2312"/>
          <w:snapToGrid w:val="0"/>
          <w:kern w:val="0"/>
          <w:sz w:val="32"/>
          <w:szCs w:val="32"/>
        </w:rPr>
      </w:pPr>
    </w:p>
    <w:p>
      <w:pPr>
        <w:autoSpaceDE w:val="0"/>
        <w:autoSpaceDN w:val="0"/>
        <w:adjustRightInd w:val="0"/>
        <w:spacing w:line="560" w:lineRule="exact"/>
        <w:jc w:val="center"/>
        <w:rPr>
          <w:rFonts w:ascii="黑体" w:hAnsi="黑体" w:eastAsia="黑体" w:cs="仿宋_GB2312"/>
          <w:snapToGrid w:val="0"/>
          <w:kern w:val="0"/>
          <w:sz w:val="32"/>
          <w:szCs w:val="32"/>
        </w:rPr>
      </w:pPr>
      <w:r>
        <w:rPr>
          <w:rFonts w:hint="eastAsia" w:ascii="黑体" w:hAnsi="黑体" w:eastAsia="黑体" w:cs="仿宋_GB2312"/>
          <w:snapToGrid w:val="0"/>
          <w:kern w:val="0"/>
          <w:sz w:val="32"/>
          <w:szCs w:val="32"/>
        </w:rPr>
        <w:t>第四部分  名词解释</w:t>
      </w:r>
    </w:p>
    <w:p>
      <w:pPr>
        <w:ind w:firstLine="640"/>
        <w:rPr>
          <w:rFonts w:ascii="仿宋" w:hAnsi="仿宋" w:eastAsia="仿宋"/>
          <w:snapToGrid w:val="0"/>
          <w:kern w:val="0"/>
          <w:sz w:val="32"/>
          <w:szCs w:val="32"/>
        </w:rPr>
      </w:pPr>
      <w:r>
        <w:rPr>
          <w:rFonts w:hint="eastAsia" w:ascii="仿宋" w:hAnsi="仿宋" w:eastAsia="仿宋"/>
          <w:snapToGrid w:val="0"/>
          <w:kern w:val="0"/>
          <w:sz w:val="32"/>
          <w:szCs w:val="32"/>
        </w:rPr>
        <w:t xml:space="preserve">一、财政拨款收入：指财政部门当年拨付的资金。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二、事业收入：指事业单位开展专业业务活动及辅助活动所取得的收入。</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三、经营收入：指事业单位在专业业务活动及其辅助活动之外开展非独立核算经营活动取得的收入。</w:t>
      </w:r>
    </w:p>
    <w:p>
      <w:pPr>
        <w:ind w:firstLine="640"/>
        <w:rPr>
          <w:rFonts w:ascii="仿宋" w:hAnsi="仿宋" w:eastAsia="仿宋"/>
          <w:snapToGrid w:val="0"/>
          <w:kern w:val="0"/>
          <w:sz w:val="32"/>
          <w:szCs w:val="32"/>
        </w:rPr>
      </w:pPr>
      <w:r>
        <w:rPr>
          <w:rFonts w:hint="eastAsia" w:ascii="仿宋" w:hAnsi="仿宋" w:eastAsia="仿宋"/>
          <w:snapToGrid w:val="0"/>
          <w:kern w:val="0"/>
          <w:sz w:val="32"/>
          <w:szCs w:val="32"/>
        </w:rPr>
        <w:t>四、其他收入：指除上述“财政拨款收入”“事业收入”“经营收入”等以外的收入。</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六、年初结转和结余：指以前年度尚未完成、结转到本年 按有关规定继续使用的资金。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九、基本支出：指为保障机构正常运转、完成日常工作任务而发生的人员支出和公用支出。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十、项目支出：指在基本支出之外为完成特定行政任务和事业发展目标所发生的支出。 </w:t>
      </w:r>
    </w:p>
    <w:p>
      <w:pPr>
        <w:ind w:firstLine="640"/>
        <w:rPr>
          <w:rFonts w:ascii="仿宋" w:hAnsi="仿宋" w:eastAsia="仿宋"/>
          <w:snapToGrid w:val="0"/>
          <w:kern w:val="0"/>
          <w:sz w:val="32"/>
          <w:szCs w:val="32"/>
        </w:rPr>
      </w:pPr>
      <w:r>
        <w:rPr>
          <w:rFonts w:hint="eastAsia" w:ascii="仿宋" w:hAnsi="仿宋" w:eastAsia="仿宋"/>
          <w:snapToGrid w:val="0"/>
          <w:kern w:val="0"/>
          <w:sz w:val="32"/>
          <w:szCs w:val="32"/>
        </w:rPr>
        <w:t>十一、经营支出：指事业单位在专业业务活动及其辅助活动之外开展非独立核算经营活动发生的支出。</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十二、“三公”经费：纳入财政预决算管理的“三公”经费，是指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snapToGrid w:val="0"/>
          <w:kern w:val="0"/>
          <w:sz w:val="32"/>
          <w:szCs w:val="32"/>
        </w:rPr>
      </w:pPr>
    </w:p>
    <w:sectPr>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w Cen MT">
    <w:panose1 w:val="020B0602020104020603"/>
    <w:charset w:val="00"/>
    <w:family w:val="roman"/>
    <w:pitch w:val="default"/>
    <w:sig w:usb0="00000003" w:usb1="00000000" w:usb2="00000000" w:usb3="00000000" w:csb0="20000003" w:csb1="00000000"/>
  </w:font>
  <w:font w:name="华文仿宋">
    <w:panose1 w:val="02010600040101010101"/>
    <w:charset w:val="86"/>
    <w:family w:val="roman"/>
    <w:pitch w:val="default"/>
    <w:sig w:usb0="00000287" w:usb1="080F0000" w:usb2="00000000" w:usb3="00000000" w:csb0="0004009F" w:csb1="DFD7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3422"/>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E02EC"/>
    <w:multiLevelType w:val="multilevel"/>
    <w:tmpl w:val="1D8E02EC"/>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346C4EFE"/>
    <w:multiLevelType w:val="multilevel"/>
    <w:tmpl w:val="346C4EFE"/>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YTY3NjE0ZTYxNjUxN2E2NWZiMmExNzkyMWQ3NDUifQ=="/>
  </w:docVars>
  <w:rsids>
    <w:rsidRoot w:val="00F928F9"/>
    <w:rsid w:val="00006A07"/>
    <w:rsid w:val="00007905"/>
    <w:rsid w:val="00007BCD"/>
    <w:rsid w:val="000156CC"/>
    <w:rsid w:val="00046284"/>
    <w:rsid w:val="00053E22"/>
    <w:rsid w:val="000655B8"/>
    <w:rsid w:val="00074787"/>
    <w:rsid w:val="00091DD8"/>
    <w:rsid w:val="00106B9A"/>
    <w:rsid w:val="00124D9B"/>
    <w:rsid w:val="001635D3"/>
    <w:rsid w:val="00167C71"/>
    <w:rsid w:val="0018658B"/>
    <w:rsid w:val="00194520"/>
    <w:rsid w:val="001968F2"/>
    <w:rsid w:val="001A4060"/>
    <w:rsid w:val="001A5BE3"/>
    <w:rsid w:val="001C606A"/>
    <w:rsid w:val="001D086D"/>
    <w:rsid w:val="001D5655"/>
    <w:rsid w:val="001D778D"/>
    <w:rsid w:val="001E4CCF"/>
    <w:rsid w:val="001F3141"/>
    <w:rsid w:val="001F55BF"/>
    <w:rsid w:val="002025BC"/>
    <w:rsid w:val="00222263"/>
    <w:rsid w:val="00224667"/>
    <w:rsid w:val="00224BCA"/>
    <w:rsid w:val="002352CF"/>
    <w:rsid w:val="00252579"/>
    <w:rsid w:val="002573F8"/>
    <w:rsid w:val="00267630"/>
    <w:rsid w:val="002A19F6"/>
    <w:rsid w:val="002C6712"/>
    <w:rsid w:val="002E6258"/>
    <w:rsid w:val="002F00DF"/>
    <w:rsid w:val="00307F1E"/>
    <w:rsid w:val="00340809"/>
    <w:rsid w:val="0036248F"/>
    <w:rsid w:val="00364932"/>
    <w:rsid w:val="00371B0B"/>
    <w:rsid w:val="00376D7D"/>
    <w:rsid w:val="00377C35"/>
    <w:rsid w:val="00392705"/>
    <w:rsid w:val="003A2867"/>
    <w:rsid w:val="003B4587"/>
    <w:rsid w:val="003E5185"/>
    <w:rsid w:val="003E5A2C"/>
    <w:rsid w:val="00421734"/>
    <w:rsid w:val="00424487"/>
    <w:rsid w:val="00457504"/>
    <w:rsid w:val="00485B65"/>
    <w:rsid w:val="00496DFB"/>
    <w:rsid w:val="004A0F88"/>
    <w:rsid w:val="004C1797"/>
    <w:rsid w:val="004D7722"/>
    <w:rsid w:val="004F3D8B"/>
    <w:rsid w:val="00506F78"/>
    <w:rsid w:val="005079D9"/>
    <w:rsid w:val="00517B79"/>
    <w:rsid w:val="0052237F"/>
    <w:rsid w:val="0053385F"/>
    <w:rsid w:val="00534D22"/>
    <w:rsid w:val="005634A3"/>
    <w:rsid w:val="00567F42"/>
    <w:rsid w:val="005706BC"/>
    <w:rsid w:val="00571E52"/>
    <w:rsid w:val="005A0889"/>
    <w:rsid w:val="005A22E1"/>
    <w:rsid w:val="005A4CC0"/>
    <w:rsid w:val="005D55FC"/>
    <w:rsid w:val="005D7442"/>
    <w:rsid w:val="00620E70"/>
    <w:rsid w:val="0062203F"/>
    <w:rsid w:val="00630A92"/>
    <w:rsid w:val="00635320"/>
    <w:rsid w:val="00636216"/>
    <w:rsid w:val="00641C25"/>
    <w:rsid w:val="006670B8"/>
    <w:rsid w:val="006B2847"/>
    <w:rsid w:val="006C3549"/>
    <w:rsid w:val="00737B1A"/>
    <w:rsid w:val="0074243C"/>
    <w:rsid w:val="0076205B"/>
    <w:rsid w:val="00795603"/>
    <w:rsid w:val="007B15AB"/>
    <w:rsid w:val="007C6526"/>
    <w:rsid w:val="007D644E"/>
    <w:rsid w:val="007F280A"/>
    <w:rsid w:val="007F5E69"/>
    <w:rsid w:val="00804BDD"/>
    <w:rsid w:val="0083489D"/>
    <w:rsid w:val="0085719A"/>
    <w:rsid w:val="008A3393"/>
    <w:rsid w:val="008C1209"/>
    <w:rsid w:val="008C619C"/>
    <w:rsid w:val="00904992"/>
    <w:rsid w:val="009068B3"/>
    <w:rsid w:val="00920A65"/>
    <w:rsid w:val="00923F4A"/>
    <w:rsid w:val="00937995"/>
    <w:rsid w:val="00972A79"/>
    <w:rsid w:val="00976EBE"/>
    <w:rsid w:val="009778E8"/>
    <w:rsid w:val="0099328E"/>
    <w:rsid w:val="009B2CBD"/>
    <w:rsid w:val="009B4185"/>
    <w:rsid w:val="009C6ABA"/>
    <w:rsid w:val="009C721C"/>
    <w:rsid w:val="009D05DD"/>
    <w:rsid w:val="009E42F3"/>
    <w:rsid w:val="009F2BFE"/>
    <w:rsid w:val="00A031B3"/>
    <w:rsid w:val="00A07DBA"/>
    <w:rsid w:val="00A143F7"/>
    <w:rsid w:val="00A325AF"/>
    <w:rsid w:val="00A327B0"/>
    <w:rsid w:val="00A355ED"/>
    <w:rsid w:val="00A4301B"/>
    <w:rsid w:val="00A47E0D"/>
    <w:rsid w:val="00A756BB"/>
    <w:rsid w:val="00A762C3"/>
    <w:rsid w:val="00A96A99"/>
    <w:rsid w:val="00AA040D"/>
    <w:rsid w:val="00AB1A3E"/>
    <w:rsid w:val="00AF7547"/>
    <w:rsid w:val="00B103E3"/>
    <w:rsid w:val="00B10B1F"/>
    <w:rsid w:val="00B22795"/>
    <w:rsid w:val="00B24542"/>
    <w:rsid w:val="00B27871"/>
    <w:rsid w:val="00B40A69"/>
    <w:rsid w:val="00B721DB"/>
    <w:rsid w:val="00BE7C54"/>
    <w:rsid w:val="00BF15F0"/>
    <w:rsid w:val="00C12BC3"/>
    <w:rsid w:val="00C13C61"/>
    <w:rsid w:val="00C2358C"/>
    <w:rsid w:val="00C45C21"/>
    <w:rsid w:val="00C80173"/>
    <w:rsid w:val="00C8433D"/>
    <w:rsid w:val="00C96C32"/>
    <w:rsid w:val="00CA037F"/>
    <w:rsid w:val="00CA0E19"/>
    <w:rsid w:val="00CA1052"/>
    <w:rsid w:val="00CA31E4"/>
    <w:rsid w:val="00CA40D1"/>
    <w:rsid w:val="00CA7E88"/>
    <w:rsid w:val="00CC2F92"/>
    <w:rsid w:val="00CE67DC"/>
    <w:rsid w:val="00D12270"/>
    <w:rsid w:val="00D26F23"/>
    <w:rsid w:val="00D37E4C"/>
    <w:rsid w:val="00D43F91"/>
    <w:rsid w:val="00D44277"/>
    <w:rsid w:val="00D76502"/>
    <w:rsid w:val="00D95C2B"/>
    <w:rsid w:val="00DA4C1A"/>
    <w:rsid w:val="00DA69B4"/>
    <w:rsid w:val="00DE257A"/>
    <w:rsid w:val="00DE513F"/>
    <w:rsid w:val="00E0397E"/>
    <w:rsid w:val="00E17583"/>
    <w:rsid w:val="00E20186"/>
    <w:rsid w:val="00E2465C"/>
    <w:rsid w:val="00E27112"/>
    <w:rsid w:val="00E33321"/>
    <w:rsid w:val="00E507BA"/>
    <w:rsid w:val="00E574F6"/>
    <w:rsid w:val="00E70535"/>
    <w:rsid w:val="00EA60F1"/>
    <w:rsid w:val="00EB60CD"/>
    <w:rsid w:val="00EE5107"/>
    <w:rsid w:val="00EF1577"/>
    <w:rsid w:val="00F03428"/>
    <w:rsid w:val="00F30CEC"/>
    <w:rsid w:val="00F35A3D"/>
    <w:rsid w:val="00F42C8C"/>
    <w:rsid w:val="00F46AAC"/>
    <w:rsid w:val="00F50DA5"/>
    <w:rsid w:val="00F6332D"/>
    <w:rsid w:val="00F73D1F"/>
    <w:rsid w:val="00F7649C"/>
    <w:rsid w:val="00F928F9"/>
    <w:rsid w:val="00FC54BD"/>
    <w:rsid w:val="00FD40BE"/>
    <w:rsid w:val="271D0D69"/>
    <w:rsid w:val="5E124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iPriority w:val="0"/>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nhideWhenUsed/>
    <w:uiPriority w:val="99"/>
    <w:rPr>
      <w:color w:val="0000FF" w:themeColor="hyperlink"/>
      <w:u w:val="single"/>
      <w14:textFill>
        <w14:solidFill>
          <w14:schemeClr w14:val="hlink"/>
        </w14:solidFill>
      </w14:textFill>
    </w:rPr>
  </w:style>
  <w:style w:type="character" w:customStyle="1" w:styleId="12">
    <w:name w:val="页眉 Char"/>
    <w:basedOn w:val="8"/>
    <w:link w:val="6"/>
    <w:qFormat/>
    <w:uiPriority w:val="0"/>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0"/>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标题 1 Char"/>
    <w:basedOn w:val="8"/>
    <w:link w:val="2"/>
    <w:uiPriority w:val="9"/>
    <w:rPr>
      <w:rFonts w:ascii="Times New Roman" w:hAnsi="Times New Roman" w:eastAsia="宋体" w:cs="Times New Roman"/>
      <w:b/>
      <w:bCs/>
      <w:kern w:val="44"/>
      <w:sz w:val="44"/>
      <w:szCs w:val="44"/>
    </w:rPr>
  </w:style>
  <w:style w:type="character" w:customStyle="1" w:styleId="18">
    <w:name w:val="标题 2 Char"/>
    <w:basedOn w:val="8"/>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中性">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A4134-2BC2-485A-AF2B-E587E2AEDDB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3216</Words>
  <Characters>3501</Characters>
  <Lines>25</Lines>
  <Paragraphs>7</Paragraphs>
  <TotalTime>535</TotalTime>
  <ScaleCrop>false</ScaleCrop>
  <LinksUpToDate>false</LinksUpToDate>
  <CharactersWithSpaces>3536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2022-08-26T02:16:00Z</dcterms:created>
  <dc:creator>LENOVO</dc:creator>
  <cp:lastModifiedBy>  </cp:lastModifiedBy>
  <cp:lastPrinted>2020-09-30T00:28:00Z</cp:lastPrinted>
  <dcterms:modified xsi:type="dcterms:W3CDTF">2023-05-16T07:35:06Z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BC3025D29B564A3DB34D65E1092160BA</vt:lpwstr>
  </property>
</Properties>
</file>